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1316" w:rsidRDefault="009608DE" w:rsidP="009608DE">
      <w:pPr>
        <w:widowControl w:val="0"/>
        <w:tabs>
          <w:tab w:val="left" w:pos="1311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</w:t>
      </w:r>
      <w:r w:rsidR="00AC71D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3</w:t>
      </w:r>
      <w:r w:rsidR="00AC71D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FF1316" w:rsidRDefault="009608DE" w:rsidP="009608DE">
      <w:pPr>
        <w:widowControl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</w:t>
      </w:r>
      <w:r w:rsidR="00AC71D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</w:p>
    <w:p w:rsidR="00FF1316" w:rsidRPr="009608DE" w:rsidRDefault="009608DE" w:rsidP="009608DE">
      <w:pPr>
        <w:widowControl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9608DE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Кубовинского сельсовета</w:t>
      </w:r>
    </w:p>
    <w:p w:rsidR="00FF1316" w:rsidRDefault="00AC71DC" w:rsidP="009608DE">
      <w:pPr>
        <w:widowControl w:val="0"/>
        <w:spacing w:after="0" w:line="240" w:lineRule="auto"/>
        <w:ind w:left="10773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Новосибирского района</w:t>
      </w:r>
    </w:p>
    <w:p w:rsidR="00FF1316" w:rsidRDefault="00AC71DC" w:rsidP="009608DE">
      <w:pPr>
        <w:widowControl w:val="0"/>
        <w:spacing w:after="0" w:line="240" w:lineRule="auto"/>
        <w:ind w:left="1077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62278C" w:rsidRDefault="0062278C" w:rsidP="0062278C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от 27.01.2025 № 34</w:t>
      </w:r>
    </w:p>
    <w:p w:rsidR="00FF1316" w:rsidRDefault="00AC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</w:t>
      </w:r>
      <w:bookmarkStart w:id="0" w:name="_GoBack"/>
      <w:bookmarkEnd w:id="0"/>
    </w:p>
    <w:p w:rsidR="00FF1316" w:rsidRDefault="00AC71D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к качеству гарантированных услуг по погребению, предоставляемых супругу, близким родственникам, иным родственникам, законному представителю или иному лицу, взявшему на себя обязанность осуществить </w:t>
      </w:r>
    </w:p>
    <w:p w:rsidR="00FF1316" w:rsidRPr="009608DE" w:rsidRDefault="00AC71DC" w:rsidP="00960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погребение умершего</w:t>
      </w:r>
    </w:p>
    <w:tbl>
      <w:tblPr>
        <w:tblW w:w="15306" w:type="dxa"/>
        <w:tblInd w:w="-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8"/>
        <w:gridCol w:w="2084"/>
        <w:gridCol w:w="12474"/>
      </w:tblGrid>
      <w:tr w:rsidR="00FF1316" w:rsidTr="009608DE">
        <w:trPr>
          <w:trHeight w:val="395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2084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услуг </w:t>
            </w:r>
          </w:p>
        </w:tc>
        <w:tc>
          <w:tcPr>
            <w:tcW w:w="12474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качеству услуг </w:t>
            </w:r>
          </w:p>
        </w:tc>
      </w:tr>
      <w:tr w:rsidR="00FF1316" w:rsidTr="009608DE">
        <w:trPr>
          <w:trHeight w:val="273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84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документов, необходимых для погребения*</w:t>
            </w:r>
          </w:p>
        </w:tc>
        <w:tc>
          <w:tcPr>
            <w:tcW w:w="12474" w:type="dxa"/>
          </w:tcPr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заказа;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обеспечение получения свидетельства о смерти, выдаваемого органами записи актов гражданского состояния, в соответствии с  приказами Министерства юстиции Российской Федерации от 01.10.2018 г. № 200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», от 01.10.2018 г. № 201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 случае если указанные документы у заявителя отсутствуют);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регистрация участка земли для погребения умершего в книге учета захоронений;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оформление счета–заказа на похороны;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</w:t>
            </w:r>
            <w:r w:rsidR="009608DE">
              <w:rPr>
                <w:rFonts w:ascii="Times New Roman" w:hAnsi="Times New Roman" w:cs="Times New Roman"/>
                <w:sz w:val="28"/>
                <w:szCs w:val="28"/>
              </w:rPr>
              <w:t>вление акта об оказании услуг.</w:t>
            </w:r>
          </w:p>
        </w:tc>
      </w:tr>
      <w:tr w:rsidR="00FF1316" w:rsidTr="009608DE">
        <w:trPr>
          <w:trHeight w:val="70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84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Предоставление и доставка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гроба и других предметов, необходимых для погребения</w:t>
            </w:r>
          </w:p>
        </w:tc>
        <w:tc>
          <w:tcPr>
            <w:tcW w:w="12474" w:type="dxa"/>
          </w:tcPr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состав услуги входит: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предоставление гроба и других предметов, необходимых для погребения;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доставка гроба в пределах Новосибирского района Новосибирской области и других принадлежностей специализированным транспортом по адресу, указанному представителем умершего при оформлении заказа, подъём на этаж; 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укладывание тела (останков) умершего в гроб.   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погребения предоставляется: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а) гроб трапециевидный, изготовленный из необрезной доски толщиной 20 мм, сосна, обитый хлопчатобумажной тканью;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б) подушка в гроб (ткань, наполнитель – опилки);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в) временная металлическая конструкция с намогильным регистрационным знаком (с указанием фамилии, инициалов, и даты погребения умершего или погибшего, дат его рождения и смерти, а также номера участка, на котором произведено погребение).</w:t>
            </w:r>
          </w:p>
        </w:tc>
      </w:tr>
      <w:tr w:rsidR="00FF1316" w:rsidTr="009608DE">
        <w:trPr>
          <w:trHeight w:val="1382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084" w:type="dxa"/>
            <w:tcBorders>
              <w:bottom w:val="single" w:sz="4" w:space="0" w:color="auto"/>
            </w:tcBorders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Перевозка тела (останков) умершего на кладбище (в крематорий)</w:t>
            </w:r>
          </w:p>
        </w:tc>
        <w:tc>
          <w:tcPr>
            <w:tcW w:w="12474" w:type="dxa"/>
            <w:tcBorders>
              <w:bottom w:val="single" w:sz="4" w:space="0" w:color="auto"/>
            </w:tcBorders>
          </w:tcPr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состав услуги входит: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вынос гроба с телом (останками) умершего;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погрузка в специализированный транспорт и перевозка в пределах Новосибирского района Новосибирской области гроба с телом (останками) умершего из места, указанного представителями умершего при оформлении заказа, до кладбища (крематория) с соблюдением скорости движения, не превышающей 40 км/ч;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перемещение гроба с телом (останками) умершего до места захоронения (кремации). Перевозка осуществляется в соответствии с установленными санитарными, гигиеническими и этическими требованиями.</w:t>
            </w:r>
          </w:p>
        </w:tc>
      </w:tr>
      <w:tr w:rsidR="00FF1316" w:rsidTr="009608DE">
        <w:trPr>
          <w:trHeight w:val="845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558" w:type="dxa"/>
            <w:gridSpan w:val="2"/>
            <w:tcBorders>
              <w:bottom w:val="single" w:sz="4" w:space="0" w:color="auto"/>
            </w:tcBorders>
          </w:tcPr>
          <w:p w:rsidR="00FF1316" w:rsidRDefault="00AC71D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Погребение (кремация с последующей выдачей урны с прахом)</w:t>
            </w:r>
          </w:p>
        </w:tc>
      </w:tr>
      <w:tr w:rsidR="00FF1316" w:rsidTr="009608DE">
        <w:trPr>
          <w:trHeight w:val="1382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</w:tc>
        <w:tc>
          <w:tcPr>
            <w:tcW w:w="2084" w:type="dxa"/>
            <w:tcBorders>
              <w:top w:val="single" w:sz="4" w:space="0" w:color="auto"/>
            </w:tcBorders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путем придания тела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умершего земле </w:t>
            </w:r>
          </w:p>
        </w:tc>
        <w:tc>
          <w:tcPr>
            <w:tcW w:w="12474" w:type="dxa"/>
            <w:tcBorders>
              <w:top w:val="single" w:sz="4" w:space="0" w:color="auto"/>
            </w:tcBorders>
          </w:tcPr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 по погребению включают: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рытье могилы вручную;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фиксацию крышки гроба;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опускание гроба с телом (останками) умершего в могилу;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засыпку могилы вручную;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устройство намогильного холма;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установку временной металлической конструкции с намогильным регистрационным знаком на могильном холме.  </w:t>
            </w:r>
          </w:p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Погребение осуществляется в соответствии с установленными санитарными, гигиеническими и этическими требованиями, в могилу на отведенном земельном участке кладбища. Размер могилы: длина – до 2,3 м, ширина – до 1,0 м, глубина – 1,5 м. </w:t>
            </w:r>
          </w:p>
        </w:tc>
      </w:tr>
      <w:tr w:rsidR="00FF1316" w:rsidTr="009608DE">
        <w:trPr>
          <w:trHeight w:val="1382"/>
        </w:trPr>
        <w:tc>
          <w:tcPr>
            <w:tcW w:w="748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4.2.</w:t>
            </w:r>
          </w:p>
        </w:tc>
        <w:tc>
          <w:tcPr>
            <w:tcW w:w="2084" w:type="dxa"/>
          </w:tcPr>
          <w:p w:rsidR="00FF1316" w:rsidRDefault="00AC71D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Кремация с последующей выдачей урны с прахом</w:t>
            </w:r>
          </w:p>
        </w:tc>
        <w:tc>
          <w:tcPr>
            <w:tcW w:w="12474" w:type="dxa"/>
          </w:tcPr>
          <w:p w:rsidR="00FF1316" w:rsidRDefault="00AC71D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Предание тела умершего огню осуществляется в крематории в соответствии с установленными санитарными, гигиеническими и этическими требованиями, с последующей выдачей урны с прахом (специальной пластиковой капсулы с указанным на ней порядковым номером) и справки о кремации.</w:t>
            </w:r>
          </w:p>
        </w:tc>
      </w:tr>
    </w:tbl>
    <w:p w:rsidR="00FF1316" w:rsidRDefault="00AC71D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Примечание: * для оформления документов необходимых для погребения заявителем представляются:</w:t>
      </w:r>
    </w:p>
    <w:p w:rsidR="00FF1316" w:rsidRDefault="00AC71DC" w:rsidP="0096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 заявителя;</w:t>
      </w:r>
    </w:p>
    <w:p w:rsidR="00FF1316" w:rsidRDefault="00AC71DC" w:rsidP="0096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документы, удостоверяющие личность и подтверждающие полномочия представителя заявителя (в случае если обращается представитель заявителя);</w:t>
      </w:r>
    </w:p>
    <w:p w:rsidR="00FF1316" w:rsidRDefault="00AC71DC" w:rsidP="0096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свидетельство о смерти, оформленное в соответствии с  приказами Министерства юстиции Российской Федерации от 01.10.2018 г. № 200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форм справок и иных документов, подтверждающих наличие или отсутствие фактов государственной регистрации актов гражданского состояния, и Правил заполнения форм справок и иных документов, подтверждающих наличие или отсутствие фактов государственной регистрации актов гражданского состояния</w:t>
      </w:r>
      <w:r>
        <w:rPr>
          <w:rFonts w:ascii="Times New Roman" w:hAnsi="Times New Roman" w:cs="Times New Roman"/>
          <w:sz w:val="28"/>
          <w:szCs w:val="28"/>
        </w:rPr>
        <w:t xml:space="preserve">», от 01.10.2018 г. № 201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«Об утверждении форм заявлений о государственной регистрации актов гражданского состояния и Правил заполнения форм заявлений о государственной регистрации актов гражданского состояния»</w:t>
      </w:r>
      <w:r>
        <w:rPr>
          <w:rFonts w:ascii="Times New Roman" w:hAnsi="Times New Roman" w:cs="Times New Roman"/>
          <w:sz w:val="28"/>
          <w:szCs w:val="28"/>
        </w:rPr>
        <w:t xml:space="preserve"> (при наличии);</w:t>
      </w:r>
    </w:p>
    <w:p w:rsidR="00FF1316" w:rsidRDefault="00AC71DC" w:rsidP="0096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паспорт умершего и документ, подтверждающий факт смерти (при отсутствии справки о смерти);</w:t>
      </w:r>
    </w:p>
    <w:p w:rsidR="00FF1316" w:rsidRDefault="00AC71DC" w:rsidP="009608D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случае если умерший работал на день смерти, справку с места работы умершего о том, что на момент смерти он работал в данной организации, с указанием реквизитов, адреса, контактных телефонов организации.</w:t>
      </w:r>
    </w:p>
    <w:p w:rsidR="00FF1316" w:rsidRDefault="00FF1316">
      <w:pPr>
        <w:spacing w:after="0"/>
        <w:ind w:left="1843"/>
        <w:rPr>
          <w:rFonts w:ascii="Times New Roman" w:hAnsi="Times New Roman" w:cs="Times New Roman"/>
          <w:sz w:val="28"/>
          <w:szCs w:val="28"/>
        </w:rPr>
      </w:pPr>
    </w:p>
    <w:p w:rsidR="00FF1316" w:rsidRDefault="00FF1316"/>
    <w:sectPr w:rsidR="00FF1316">
      <w:headerReference w:type="default" r:id="rId7"/>
      <w:type w:val="continuous"/>
      <w:pgSz w:w="16838" w:h="11906" w:orient="landscape"/>
      <w:pgMar w:top="1134" w:right="56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F28" w:rsidRDefault="00F10F28">
      <w:pPr>
        <w:spacing w:after="0" w:line="240" w:lineRule="auto"/>
      </w:pPr>
      <w:r>
        <w:separator/>
      </w:r>
    </w:p>
  </w:endnote>
  <w:endnote w:type="continuationSeparator" w:id="0">
    <w:p w:rsidR="00F10F28" w:rsidRDefault="00F10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F28" w:rsidRDefault="00F10F28">
      <w:pPr>
        <w:spacing w:after="0" w:line="240" w:lineRule="auto"/>
      </w:pPr>
      <w:r>
        <w:separator/>
      </w:r>
    </w:p>
  </w:footnote>
  <w:footnote w:type="continuationSeparator" w:id="0">
    <w:p w:rsidR="00F10F28" w:rsidRDefault="00F10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20605144"/>
      <w:docPartObj>
        <w:docPartGallery w:val="Page Numbers (Top of Page)"/>
        <w:docPartUnique/>
      </w:docPartObj>
    </w:sdtPr>
    <w:sdtEndPr/>
    <w:sdtContent>
      <w:p w:rsidR="00FF1316" w:rsidRDefault="00AC71DC">
        <w:pPr>
          <w:pStyle w:val="afd"/>
          <w:jc w:val="center"/>
          <w:rPr>
            <w:rFonts w:ascii="Times New Roman" w:hAnsi="Times New Roman" w:cs="Times New Roman"/>
            <w:sz w:val="20"/>
            <w:szCs w:val="20"/>
          </w:rPr>
        </w:pPr>
        <w:r>
          <w:rPr>
            <w:rFonts w:ascii="Times New Roman" w:hAnsi="Times New Roman" w:cs="Times New Roman"/>
            <w:sz w:val="20"/>
            <w:szCs w:val="20"/>
          </w:rPr>
          <w:fldChar w:fldCharType="begin"/>
        </w:r>
        <w:r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62278C">
          <w:rPr>
            <w:rFonts w:ascii="Times New Roman" w:hAnsi="Times New Roman" w:cs="Times New Roman"/>
            <w:noProof/>
            <w:sz w:val="20"/>
            <w:szCs w:val="20"/>
          </w:rPr>
          <w:t>3</w:t>
        </w:r>
        <w:r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  <w:p w:rsidR="00FF1316" w:rsidRDefault="00FF1316">
    <w:pPr>
      <w:pStyle w:val="af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316"/>
    <w:rsid w:val="0062278C"/>
    <w:rsid w:val="009608DE"/>
    <w:rsid w:val="00AC71DC"/>
    <w:rsid w:val="00F10F28"/>
    <w:rsid w:val="00FF1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7ED288-AD54-4E0B-848F-C5418B78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d">
    <w:name w:val="Hyperlink"/>
    <w:uiPriority w:val="99"/>
    <w:unhideWhenUsed/>
    <w:rPr>
      <w:color w:val="0563C1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">
    <w:name w:val="Текст сноски Знак"/>
    <w:link w:val="ae"/>
    <w:uiPriority w:val="99"/>
    <w:rPr>
      <w:sz w:val="18"/>
    </w:rPr>
  </w:style>
  <w:style w:type="character" w:styleId="af0">
    <w:name w:val="footnote reference"/>
    <w:basedOn w:val="a0"/>
    <w:uiPriority w:val="99"/>
    <w:unhideWhenUsed/>
    <w:rPr>
      <w:vertAlign w:val="superscript"/>
    </w:rPr>
  </w:style>
  <w:style w:type="paragraph" w:styleId="af1">
    <w:name w:val="endnote text"/>
    <w:basedOn w:val="a"/>
    <w:link w:val="af2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2">
    <w:name w:val="Текст концевой сноски Знак"/>
    <w:link w:val="af1"/>
    <w:uiPriority w:val="99"/>
    <w:rPr>
      <w:sz w:val="20"/>
    </w:rPr>
  </w:style>
  <w:style w:type="character" w:styleId="af3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4">
    <w:name w:val="TOC Heading"/>
    <w:uiPriority w:val="39"/>
    <w:unhideWhenUsed/>
  </w:style>
  <w:style w:type="paragraph" w:styleId="af5">
    <w:name w:val="table of figures"/>
    <w:basedOn w:val="a"/>
    <w:next w:val="a"/>
    <w:uiPriority w:val="99"/>
    <w:unhideWhenUsed/>
    <w:pPr>
      <w:spacing w:after="0"/>
    </w:pPr>
  </w:style>
  <w:style w:type="character" w:styleId="af6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Pr>
      <w:b/>
      <w:bCs/>
      <w:sz w:val="20"/>
      <w:szCs w:val="20"/>
    </w:rPr>
  </w:style>
  <w:style w:type="paragraph" w:styleId="afb">
    <w:name w:val="Balloon Text"/>
    <w:basedOn w:val="a"/>
    <w:link w:val="afc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Pr>
      <w:rFonts w:ascii="Segoe UI" w:hAnsi="Segoe UI" w:cs="Segoe UI"/>
      <w:sz w:val="18"/>
      <w:szCs w:val="18"/>
    </w:rPr>
  </w:style>
  <w:style w:type="paragraph" w:styleId="afd">
    <w:name w:val="head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Верхний колонтитул Знак"/>
    <w:basedOn w:val="a0"/>
    <w:link w:val="afd"/>
    <w:uiPriority w:val="99"/>
  </w:style>
  <w:style w:type="paragraph" w:styleId="aff">
    <w:name w:val="footer"/>
    <w:basedOn w:val="a"/>
    <w:link w:val="aff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0">
    <w:name w:val="Нижний колонтитул Знак"/>
    <w:basedOn w:val="a0"/>
    <w:link w:val="aff"/>
    <w:uiPriority w:val="99"/>
  </w:style>
  <w:style w:type="character" w:customStyle="1" w:styleId="10">
    <w:name w:val="Заголовок 1 Знак"/>
    <w:basedOn w:val="a0"/>
    <w:link w:val="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84F346-F5DC-4CA6-97BD-911ACB101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813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Б. Эссауленко</dc:creator>
  <cp:keywords/>
  <dc:description/>
  <cp:lastModifiedBy>Пользователь Windows</cp:lastModifiedBy>
  <cp:revision>10</cp:revision>
  <cp:lastPrinted>2025-01-27T02:13:00Z</cp:lastPrinted>
  <dcterms:created xsi:type="dcterms:W3CDTF">2022-10-31T02:14:00Z</dcterms:created>
  <dcterms:modified xsi:type="dcterms:W3CDTF">2025-01-27T02:13:00Z</dcterms:modified>
</cp:coreProperties>
</file>